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>
      <w:bookmarkStart w:id="0" w:name="_GoBack"/>
      <w:bookmarkEnd w:id="0"/>
    </w:p>
    <w:p w:rsidR="00F63C5B" w:rsidRDefault="00BD1435">
      <w:pPr>
        <w:pStyle w:val="Heading1"/>
      </w:pPr>
      <w:r>
        <w:t>011 POVJERENSTVO ZA FISKALNU POLITIKU</w:t>
      </w:r>
    </w:p>
    <w:p w:rsidR="00F63C5B" w:rsidRDefault="00BD1435">
      <w:r>
        <w:t>Rad i djelovanje Povjerenstva za fiskalnu politiku imalo je nekoliko faza razvoja. Prvotno je 2011. godine Odlukom o osnivanju Odbora za fiskalnu politiku (NN 40/11) osnovan Odbor za fiskalnu politiku kao stručno tijelo kojim je predsjedao ministar financi</w:t>
      </w:r>
      <w:r>
        <w:t xml:space="preserve">ja.   </w:t>
      </w:r>
    </w:p>
    <w:p w:rsidR="00F63C5B" w:rsidRDefault="00BD1435">
      <w:r>
        <w:t xml:space="preserve">  </w:t>
      </w:r>
    </w:p>
    <w:p w:rsidR="00F63C5B" w:rsidRDefault="00BD1435">
      <w:r>
        <w:t xml:space="preserve">Zbog potrebe jačanja neovisnosti Odbora u skladu s odredbama Direktive Vijeća 2011/85/EU o zahtjevima za nacionalne proračunske okvire i jačanja uloge samog Odbora kao supervizora nad primjenom Zakona o fiskalnoj odgovornosti (NN 139/2010; dalje </w:t>
      </w:r>
      <w:r>
        <w:t xml:space="preserve">u tekstu: ZFO), Hrvatski sabor je 18. prosinca 2013. godine donio Odluku o osnivanju Povjerenstva za fiskalnu politiku (NN 156/13) po kojoj je Povjerenstvo postalo drugo radno tijelo Hrvatskog sabora zaduženo za praćenje provedbe ZFO-a odvojeno od izvršne </w:t>
      </w:r>
      <w:r>
        <w:t xml:space="preserve">vlasti odnosno Ministarstva financija.   </w:t>
      </w:r>
    </w:p>
    <w:p w:rsidR="00F63C5B" w:rsidRDefault="00BD1435">
      <w:r>
        <w:t xml:space="preserve">  </w:t>
      </w:r>
    </w:p>
    <w:p w:rsidR="00F63C5B" w:rsidRDefault="00BD1435">
      <w:r>
        <w:t>Koncem 2021. godine po izboru prve predsjednice Povjerenstva te registracijom tijela kao poslovnog subjekta 9. prosinca 2021. godine Povjerenstvo za fiskalnu politiku postalo je neovisno i samostalno tijelo, nak</w:t>
      </w:r>
      <w:r>
        <w:t xml:space="preserve">on što je osam godina djelovalo kao drugo tijelo Hrvatskoga sabora te je započelo s funkcionalnom uspostavom Ureda Povjerenstva.   </w:t>
      </w:r>
    </w:p>
    <w:p w:rsidR="00F63C5B" w:rsidRDefault="00BD1435">
      <w:r>
        <w:t xml:space="preserve">  </w:t>
      </w:r>
    </w:p>
    <w:p w:rsidR="00F63C5B" w:rsidRDefault="00BD1435">
      <w:r>
        <w:t>Rad Povjerenstva temelji se na Zakonu o fiskalnoj odgovornosti (NN 111/18, 83/23), Zakonu o proračunu (NN 144/21) te Godi</w:t>
      </w:r>
      <w:r>
        <w:t xml:space="preserve">šnjem planu i programu rada Povjerenstva. Temeljem čl. 22. Zakona o fiskalnoj odgovornosti utvrđene su zadaće odnosno poslovi Povjerenstva koji se odnose na:  </w:t>
      </w:r>
    </w:p>
    <w:p w:rsidR="00F63C5B" w:rsidRDefault="00BD1435">
      <w:r>
        <w:t>– razmatranje i procjenu rizika primjene fiskalnih pravila utvrđenih u člancima 6., 7. i 8. ovog</w:t>
      </w:r>
      <w:r>
        <w:t xml:space="preserve">a Zakona, u programu stabilnosti i u državnom proračunu i financijskim planovima izvanproračunskih korisnika za planiranu proračunsku godinu i projekcijama za sljedeće dvije godine te godišnjem izvještaju o izvršenju proračuna </w:t>
      </w:r>
    </w:p>
    <w:p w:rsidR="00F63C5B" w:rsidRDefault="00BD1435">
      <w:r>
        <w:t>– razmatranje i usporedbu ma</w:t>
      </w:r>
      <w:r>
        <w:t xml:space="preserve">kroekonomskih i proračunskih projekcija s ostvarenim vrijednostima u razdoblju od četiri uzastopne godine koje će se provoditi najmanje jednom u dvije godine </w:t>
      </w:r>
    </w:p>
    <w:p w:rsidR="00F63C5B" w:rsidRDefault="00BD1435">
      <w:r>
        <w:t>– potvrđivanje makroekonomskih projekcija na kojima se temelji program stabilnosti i nacrt prorač</w:t>
      </w:r>
      <w:r>
        <w:t xml:space="preserve">unskog plana u skladu sa zakonom kojim se uređuje proračun </w:t>
      </w:r>
    </w:p>
    <w:p w:rsidR="00F63C5B" w:rsidRDefault="00BD1435">
      <w:r>
        <w:t xml:space="preserve">– davanje mišljenja Vladi o privremenom odgađanju primjene fiskalnih pravila iz članaka 6., 7. i 8. Zakona, u slučaju izvanrednih okolnosti iz članka 10. ZFO-a. </w:t>
      </w:r>
    </w:p>
    <w:p w:rsidR="00F63C5B" w:rsidRDefault="00BD1435">
      <w:r>
        <w:t xml:space="preserve"> </w:t>
      </w:r>
    </w:p>
    <w:p w:rsidR="00F63C5B" w:rsidRDefault="00BD1435">
      <w:r>
        <w:t xml:space="preserve">Sukladno st. 2. i st. 3. čl. 21. Zakona o proračunu definirane su sljedeće zadaće Povjerenstva:  </w:t>
      </w:r>
    </w:p>
    <w:p w:rsidR="00F63C5B" w:rsidRDefault="00BD1435">
      <w:r>
        <w:t xml:space="preserve">- vrši nepristranu i sveobuhvatnu ocjenu makroekonomskih i proračunskih projekcija te  </w:t>
      </w:r>
    </w:p>
    <w:p w:rsidR="00F63C5B" w:rsidRDefault="00BD1435">
      <w:r>
        <w:t>- potvrđuje makroekonomske projekcije na kojima se temelji program sta</w:t>
      </w:r>
      <w:r>
        <w:t xml:space="preserve">bilnosti (čl. 22.) i nacrt proračunskog plana (čl. 27.).  </w:t>
      </w:r>
    </w:p>
    <w:p w:rsidR="00F63C5B" w:rsidRDefault="00BD1435">
      <w:r>
        <w:t xml:space="preserve">  </w:t>
      </w:r>
    </w:p>
    <w:p w:rsidR="00F63C5B" w:rsidRDefault="00BD1435">
      <w:r>
        <w:t>U narednom trogodišnjem razdoblju fokus poslovanja bit će usmjeren na daljnju izgradnju funkcionalnog Ureda Povjerenstva te na operativno izvršavanje redovnih obveza poslovanja.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89"/>
        <w:gridCol w:w="1547"/>
        <w:gridCol w:w="1538"/>
        <w:gridCol w:w="1554"/>
        <w:gridCol w:w="1554"/>
        <w:gridCol w:w="1554"/>
        <w:gridCol w:w="970"/>
      </w:tblGrid>
      <w:tr w:rsidR="00F63C5B">
        <w:trPr>
          <w:jc w:val="center"/>
        </w:trPr>
        <w:tc>
          <w:tcPr>
            <w:tcW w:w="1530" w:type="dxa"/>
            <w:shd w:val="clear" w:color="auto" w:fill="B5C0D8"/>
          </w:tcPr>
          <w:p w:rsidR="00F63C5B" w:rsidRDefault="00F63C5B">
            <w:pPr>
              <w:pStyle w:val="CellHeader"/>
            </w:pP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Izvršenje 2023.</w:t>
            </w:r>
            <w:r>
              <w:rPr>
                <w:rFonts w:cs="Times New Roman"/>
              </w:rPr>
              <w:t xml:space="preserve">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F63C5B">
        <w:trPr>
          <w:jc w:val="center"/>
        </w:trPr>
        <w:tc>
          <w:tcPr>
            <w:tcW w:w="1530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01105-Povjerenstvo za fiskalnu politiku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111.792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695.011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1.331.820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1.204.847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1.102.394</w:t>
            </w:r>
          </w:p>
        </w:tc>
        <w:tc>
          <w:tcPr>
            <w:tcW w:w="510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191,6</w:t>
            </w:r>
          </w:p>
        </w:tc>
      </w:tr>
      <w:tr w:rsidR="00F63C5B">
        <w:trPr>
          <w:jc w:val="center"/>
        </w:trPr>
        <w:tc>
          <w:tcPr>
            <w:tcW w:w="1530" w:type="dxa"/>
            <w:shd w:val="clear" w:color="auto" w:fill="B5C0D8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Ukupno 011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111.792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695.011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1.331.820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1.204.847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1.102.394</w:t>
            </w:r>
          </w:p>
        </w:tc>
        <w:tc>
          <w:tcPr>
            <w:tcW w:w="510" w:type="dxa"/>
            <w:shd w:val="clear" w:color="auto" w:fill="B5C0D8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191,6</w:t>
            </w:r>
          </w:p>
        </w:tc>
      </w:tr>
    </w:tbl>
    <w:p w:rsidR="00F63C5B" w:rsidRDefault="00F63C5B">
      <w:pPr>
        <w:jc w:val="left"/>
      </w:pPr>
    </w:p>
    <w:p w:rsidR="00F63C5B" w:rsidRDefault="00BD1435">
      <w:pPr>
        <w:pStyle w:val="Heading2"/>
      </w:pPr>
      <w:r>
        <w:lastRenderedPageBreak/>
        <w:t>01105 Povjerenstvo za fiskalnu politiku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89"/>
        <w:gridCol w:w="1547"/>
        <w:gridCol w:w="1538"/>
        <w:gridCol w:w="1554"/>
        <w:gridCol w:w="1554"/>
        <w:gridCol w:w="1554"/>
        <w:gridCol w:w="970"/>
      </w:tblGrid>
      <w:tr w:rsidR="00F63C5B">
        <w:trPr>
          <w:jc w:val="center"/>
        </w:trPr>
        <w:tc>
          <w:tcPr>
            <w:tcW w:w="1530" w:type="dxa"/>
            <w:shd w:val="clear" w:color="auto" w:fill="B5C0D8"/>
          </w:tcPr>
          <w:p w:rsidR="00F63C5B" w:rsidRDefault="00F63C5B">
            <w:pPr>
              <w:pStyle w:val="CellHeader"/>
            </w:pP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F63C5B">
        <w:trPr>
          <w:jc w:val="center"/>
        </w:trPr>
        <w:tc>
          <w:tcPr>
            <w:tcW w:w="1530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01105-Povjerenstvo za fiskalnu politiku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111.792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695.011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1.331.820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1.204.847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1.102.394</w:t>
            </w:r>
          </w:p>
        </w:tc>
        <w:tc>
          <w:tcPr>
            <w:tcW w:w="510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191,6</w:t>
            </w:r>
          </w:p>
        </w:tc>
      </w:tr>
    </w:tbl>
    <w:p w:rsidR="00F63C5B" w:rsidRDefault="00F63C5B">
      <w:pPr>
        <w:jc w:val="left"/>
      </w:pPr>
    </w:p>
    <w:p w:rsidR="00F63C5B" w:rsidRDefault="00BD1435">
      <w:pPr>
        <w:pStyle w:val="Heading3"/>
      </w:pPr>
      <w:r>
        <w:rPr>
          <w:rFonts w:cs="Times New Roman"/>
        </w:rPr>
        <w:t>2211 NEOVISNO PRAĆENJE PROVEDBE FISKALNE POLITIKE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91"/>
        <w:gridCol w:w="1546"/>
        <w:gridCol w:w="1537"/>
        <w:gridCol w:w="1554"/>
        <w:gridCol w:w="1554"/>
        <w:gridCol w:w="1554"/>
        <w:gridCol w:w="970"/>
      </w:tblGrid>
      <w:tr w:rsidR="00F63C5B">
        <w:trPr>
          <w:jc w:val="center"/>
        </w:trPr>
        <w:tc>
          <w:tcPr>
            <w:tcW w:w="1530" w:type="dxa"/>
            <w:shd w:val="clear" w:color="auto" w:fill="B5C0D8"/>
          </w:tcPr>
          <w:p w:rsidR="00F63C5B" w:rsidRDefault="00F63C5B">
            <w:pPr>
              <w:pStyle w:val="CellHeader"/>
            </w:pP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F63C5B">
        <w:trPr>
          <w:jc w:val="center"/>
        </w:trPr>
        <w:tc>
          <w:tcPr>
            <w:tcW w:w="1530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2211-NEOVISNO PRAĆENJE PROVEDBE FISKALNE POLITIKE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111.792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695.011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1.331.820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1.204.847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1.102.394</w:t>
            </w:r>
          </w:p>
        </w:tc>
        <w:tc>
          <w:tcPr>
            <w:tcW w:w="510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191,6</w:t>
            </w:r>
          </w:p>
        </w:tc>
      </w:tr>
    </w:tbl>
    <w:p w:rsidR="00F63C5B" w:rsidRDefault="00F63C5B">
      <w:pPr>
        <w:jc w:val="left"/>
      </w:pPr>
    </w:p>
    <w:p w:rsidR="00F63C5B" w:rsidRDefault="00BD1435">
      <w:pPr>
        <w:pStyle w:val="Normal5"/>
      </w:pPr>
      <w:r>
        <w:t>Povjerenstvo za fiskalnu politiku je neovisno, samostalno, stručno i visokoprofesionalno tijelo Republike Hrvatske kojem je osnovni cilj osiguranje srednjoročne i dugoročne održivosti javnih financija odnosno fiskalne politike države. Povjerenstvo</w:t>
      </w:r>
      <w:r>
        <w:t xml:space="preserve"> za fiskalnu politiku promiče stabilne i održive javne financije, zagovara transparentnost i odgovornost, upozorava na prekomjernu javnu potrošnju, nepristrano nadzire provedbu proračunskih planova i prati poštivanje fiskalnih pravila. Glavna svrha Povjere</w:t>
      </w:r>
      <w:r>
        <w:t xml:space="preserve">nstva je procijeniti u kojoj se mjeri postižu ciljevi fiskalne i ekonomske politike koju je predložila Vlada te tako pridonijeti većoj transparentnosti i jasnoći u svezi s ciljevima i učinkovitosti ekonomske odnosno fiskalne politike u Hrvatskoj.   </w:t>
      </w:r>
    </w:p>
    <w:p w:rsidR="00F63C5B" w:rsidRDefault="00BD1435">
      <w:pPr>
        <w:pStyle w:val="Normal5"/>
      </w:pPr>
      <w:r>
        <w:t>Neovis</w:t>
      </w:r>
      <w:r>
        <w:t xml:space="preserve">nost i samostalnost u obavljanju poslova iz svog djelokruga rada i nadležnosti omogućuje Povjerenstvu za fiskalnu politiku ulogu supervizora nad primjenom Zakona o fiskalnoj odgovornosti, ali i nad provođenjem fiskalne politike države u cijelosti.  </w:t>
      </w:r>
    </w:p>
    <w:p w:rsidR="00F63C5B" w:rsidRDefault="00BD1435">
      <w:pPr>
        <w:pStyle w:val="Normal5"/>
      </w:pPr>
      <w:r>
        <w:t>Povjer</w:t>
      </w:r>
      <w:r>
        <w:t xml:space="preserve">enstvo za fiskalnu politiku nastoji u javnom interesu, nepristrano, etično i efikasno pratiti te promicati transparentno, odgovorno i otvoreno fiskalnu održivost.  </w:t>
      </w:r>
    </w:p>
    <w:p w:rsidR="00F63C5B" w:rsidRDefault="00BD1435">
      <w:pPr>
        <w:pStyle w:val="Normal5"/>
      </w:pPr>
      <w:r>
        <w:t>Opći cilj Povjerenstva je osiguravanje zadaća u skladu s odredbama Zakona o fiskalnoj odgov</w:t>
      </w:r>
      <w:r>
        <w:t>ornosti koji se odnosi na unapređenje sustava javnih financija. Posebni ciljevi Povjerenstva usmjereni su na jačanje institucionalnog (i pravnog) okvira, razvoj administrativnih, stručnih i analitičkih, kao i infrastrukturnih kapaciteta, te jačanje međunar</w:t>
      </w:r>
      <w:r>
        <w:t>odne suradnje.</w:t>
      </w:r>
    </w:p>
    <w:p w:rsidR="00F63C5B" w:rsidRDefault="00BD1435">
      <w:pPr>
        <w:pStyle w:val="Heading7"/>
      </w:pPr>
      <w:r>
        <w:t>Cilj 1. Unapređenje sustava javnih financija</w:t>
      </w:r>
    </w:p>
    <w:p w:rsidR="00F63C5B" w:rsidRDefault="00BD1435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229"/>
        <w:gridCol w:w="2230"/>
        <w:gridCol w:w="916"/>
        <w:gridCol w:w="918"/>
        <w:gridCol w:w="1159"/>
        <w:gridCol w:w="918"/>
        <w:gridCol w:w="918"/>
        <w:gridCol w:w="918"/>
      </w:tblGrid>
      <w:tr w:rsidR="00F63C5B">
        <w:trPr>
          <w:jc w:val="center"/>
        </w:trPr>
        <w:tc>
          <w:tcPr>
            <w:tcW w:w="2245" w:type="dxa"/>
            <w:shd w:val="clear" w:color="auto" w:fill="B5C0D8"/>
          </w:tcPr>
          <w:p w:rsidR="00F63C5B" w:rsidRDefault="00BD1435">
            <w:r>
              <w:t>Pokazatelj učinka</w:t>
            </w:r>
          </w:p>
        </w:tc>
        <w:tc>
          <w:tcPr>
            <w:tcW w:w="2245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918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918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18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918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Ciljana vrijednost (2025.)</w:t>
            </w:r>
          </w:p>
        </w:tc>
        <w:tc>
          <w:tcPr>
            <w:tcW w:w="918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Ciljana vrijednost (2026.)</w:t>
            </w:r>
          </w:p>
        </w:tc>
        <w:tc>
          <w:tcPr>
            <w:tcW w:w="918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Ciljana vrijednost (2027.)</w:t>
            </w:r>
          </w:p>
        </w:tc>
      </w:tr>
      <w:tr w:rsidR="00F63C5B">
        <w:trPr>
          <w:jc w:val="center"/>
        </w:trPr>
        <w:tc>
          <w:tcPr>
            <w:tcW w:w="2245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Potpuna provedba Zakona o fiskalnoj odgovornosti iz dijela Povjerenstva za fiskalnu politiku</w:t>
            </w:r>
          </w:p>
        </w:tc>
        <w:tc>
          <w:tcPr>
            <w:tcW w:w="2245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Potpuna provedba Zakona o fiskalnoj odgovornosti iz dijela Povjerenstva za fiskalnu politiku utjecat će na ispunjenje fiskalnih pravila</w:t>
            </w:r>
          </w:p>
        </w:tc>
        <w:tc>
          <w:tcPr>
            <w:tcW w:w="918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%</w:t>
            </w:r>
          </w:p>
        </w:tc>
        <w:tc>
          <w:tcPr>
            <w:tcW w:w="918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  <w:tc>
          <w:tcPr>
            <w:tcW w:w="918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Povjerenstvo</w:t>
            </w:r>
          </w:p>
        </w:tc>
        <w:tc>
          <w:tcPr>
            <w:tcW w:w="918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  <w:tc>
          <w:tcPr>
            <w:tcW w:w="918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  <w:tc>
          <w:tcPr>
            <w:tcW w:w="918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100</w:t>
            </w:r>
          </w:p>
        </w:tc>
      </w:tr>
    </w:tbl>
    <w:p w:rsidR="00F63C5B" w:rsidRDefault="00F63C5B">
      <w:pPr>
        <w:jc w:val="left"/>
      </w:pPr>
    </w:p>
    <w:p w:rsidR="00F63C5B" w:rsidRDefault="00BD1435">
      <w:pPr>
        <w:pStyle w:val="Heading4"/>
      </w:pPr>
      <w:r>
        <w:lastRenderedPageBreak/>
        <w:t>A926001 ADMINISTRACIJA I UPRAVLJANJE</w:t>
      </w:r>
    </w:p>
    <w:p w:rsidR="00F63C5B" w:rsidRDefault="00BD1435">
      <w:pPr>
        <w:pStyle w:val="Heading8"/>
        <w:jc w:val="left"/>
      </w:pPr>
      <w:r>
        <w:t>Zakonske i druge pravne osnove</w:t>
      </w:r>
    </w:p>
    <w:p w:rsidR="00F63C5B" w:rsidRDefault="00BD1435">
      <w:pPr>
        <w:pStyle w:val="Normal5"/>
      </w:pPr>
      <w:r>
        <w:t xml:space="preserve">Zakon o fiskalnoj odgovornosti  </w:t>
      </w:r>
    </w:p>
    <w:p w:rsidR="00F63C5B" w:rsidRDefault="00BD1435">
      <w:pPr>
        <w:pStyle w:val="Normal5"/>
      </w:pPr>
      <w:r>
        <w:t>Zakon o proračunu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92"/>
        <w:gridCol w:w="1484"/>
        <w:gridCol w:w="1469"/>
        <w:gridCol w:w="1497"/>
        <w:gridCol w:w="1497"/>
        <w:gridCol w:w="1497"/>
        <w:gridCol w:w="970"/>
      </w:tblGrid>
      <w:tr w:rsidR="00F63C5B">
        <w:trPr>
          <w:jc w:val="center"/>
        </w:trPr>
        <w:tc>
          <w:tcPr>
            <w:tcW w:w="1530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F63C5B">
        <w:trPr>
          <w:jc w:val="center"/>
        </w:trPr>
        <w:tc>
          <w:tcPr>
            <w:tcW w:w="1530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A926001-ADMINISTRACIJA I UPRAVLJANJE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109.034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583.650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1.223.320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1.132.847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1.013.894</w:t>
            </w:r>
          </w:p>
        </w:tc>
        <w:tc>
          <w:tcPr>
            <w:tcW w:w="510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209,6</w:t>
            </w:r>
          </w:p>
        </w:tc>
      </w:tr>
    </w:tbl>
    <w:p w:rsidR="00F63C5B" w:rsidRDefault="00F63C5B">
      <w:pPr>
        <w:jc w:val="left"/>
      </w:pPr>
    </w:p>
    <w:p w:rsidR="00F63C5B" w:rsidRDefault="00BD1435">
      <w:r>
        <w:t xml:space="preserve">Aktivnost A926001 Administracija i upravljanje podrazumijeva poslove neophodne za uspješno djelovanje Povjerenstva za fiskalnu politiku. U okviru navedene aktivnosti planirani su:  </w:t>
      </w:r>
    </w:p>
    <w:p w:rsidR="00F63C5B" w:rsidRDefault="00BD1435">
      <w:r>
        <w:t xml:space="preserve">a) rashodi za zaposlene  </w:t>
      </w:r>
    </w:p>
    <w:p w:rsidR="00F63C5B" w:rsidRDefault="00BD1435">
      <w:r>
        <w:t xml:space="preserve">b) materijalni rashodi  </w:t>
      </w:r>
    </w:p>
    <w:p w:rsidR="00F63C5B" w:rsidRDefault="00BD1435">
      <w:r>
        <w:t xml:space="preserve">c) financijski rashodi </w:t>
      </w:r>
      <w:r>
        <w:t xml:space="preserve"> </w:t>
      </w:r>
    </w:p>
    <w:p w:rsidR="00F63C5B" w:rsidRDefault="00BD1435">
      <w:r>
        <w:t xml:space="preserve">d) naknade građanima i kućanstvima na temelju osiguranja i druge naknade  </w:t>
      </w:r>
    </w:p>
    <w:p w:rsidR="00F63C5B" w:rsidRDefault="00BD1435">
      <w:r>
        <w:t xml:space="preserve">e) rashodi za nabavu proizvedene dugotrajne imovine.  </w:t>
      </w:r>
    </w:p>
    <w:p w:rsidR="00F63C5B" w:rsidRDefault="00BD1435">
      <w:r>
        <w:t xml:space="preserve">  </w:t>
      </w:r>
    </w:p>
    <w:p w:rsidR="00F63C5B" w:rsidRDefault="00BD1435">
      <w:r>
        <w:t>U okviru aktivnosti A926001 Administracija i upravljanje planirana su sredstva u iznosu od 1.223.320,00 eura za 2025. god</w:t>
      </w:r>
      <w:r>
        <w:t xml:space="preserve">inu, 1.132.847,00 eura za 2026. godinu te 1.013.894,00 eura za 2027. godinu.   </w:t>
      </w:r>
    </w:p>
    <w:p w:rsidR="00F63C5B" w:rsidRDefault="00BD1435">
      <w:r>
        <w:t xml:space="preserve">  </w:t>
      </w:r>
    </w:p>
    <w:p w:rsidR="00F63C5B" w:rsidRDefault="00BD1435">
      <w:r>
        <w:t xml:space="preserve">U nastavku dajemo razradu planiranih sredstava po skupinama rashoda kako slijedi. </w:t>
      </w:r>
    </w:p>
    <w:p w:rsidR="00F63C5B" w:rsidRDefault="00BD1435">
      <w:r>
        <w:t xml:space="preserve">31 Rashodi za zaposlene  </w:t>
      </w:r>
    </w:p>
    <w:p w:rsidR="00F63C5B" w:rsidRDefault="00BD1435">
      <w:r>
        <w:t>Planirana su sredstva u iznosu od 459.048,00 eura za 2025. godin</w:t>
      </w:r>
      <w:r>
        <w:t xml:space="preserve">u, 461.648,00 eura za 2026. godinu te 464.248,00 eura za 2027. godinu.  </w:t>
      </w:r>
    </w:p>
    <w:p w:rsidR="00F63C5B" w:rsidRDefault="00BD1435">
      <w:r>
        <w:t>U cilju jačanja stručnih kapaciteta Povjerenstva planirano je zapošljavanje određenog broja profesionalnog i stručnog osoblja u Uredu Povjerenstva. U Uredu se, između ostalog, obavlja</w:t>
      </w:r>
      <w:r>
        <w:t>ju vrlo složeni poslovi ekonomskih analiza i prognoza koji zahtijevaju posebna stručna znanja. S obzirom na planirani ukupni broj zaposlenika, u Uredu Povjerenstva predviđena je svojevrsna horizontalna struktura u kojoj pretežu savjetnici odnosno analitiča</w:t>
      </w:r>
      <w:r>
        <w:t>ri s posebnim znanjima i vještinama iz makroekonomije, ekonometrije, javnih financija i kvantitativnih analiza. Dodatno, ulaskom u eurozonu povećao se i obuhvat zadaća Povjerenstva u području makroekonomskog planiranja, što znatno povećava složenost poslov</w:t>
      </w:r>
      <w:r>
        <w:t>a koji se obavljaju u Uredu Povjerenstva. U 2024. godini došlo je do realizacije osnivanja Ureda Povjerenstva, koji je postao operativan, te su provedena prva zapošljavanja, a osiguran je i poslovni prostor za rad. Ciklus zapošljavanja započet je krajem 20</w:t>
      </w:r>
      <w:r>
        <w:t>23. godine i nastavio se u 2024. godini te je trenutno u Uredu Povjerenstva zaposleno petero službenika: troje viših savjetnika specijalista (analitičara), voditeljica odjela općih poslova i administrativna tajnica. S obzirom da zapošljavanje planiranog br</w:t>
      </w:r>
      <w:r>
        <w:t>oja službenika nije izvršeno u potpunosti u skladu s potrebama i Pravilnikom o unutarnjem ustroju, u 2025. godini planirano je daljnje zapošljavanje. Stoga, ukupni rashodi za zaposlene za 2025. godinu se odnose i na planirano zapošljavanje pet službenika (</w:t>
      </w:r>
      <w:r>
        <w:t>analitičara) za potrebe obavljanja stručnih poslova u Uredu Povjerenstva. Sredstva su planirana prema utvrđenoj potrebi kompletiranja Ureda Povjerenstva i neophodnom daljnjem zapošljavanju službenika, budući da bez zapošljavanja istih neće biti moguće pruž</w:t>
      </w:r>
      <w:r>
        <w:t xml:space="preserve">ati cjelovitu i adekvatnu podršku programima i zadaćama koje Povjerenstvo u skladu sa Zakonom o fiskalnoj odgovornosti mora izvršiti.  </w:t>
      </w:r>
    </w:p>
    <w:p w:rsidR="00F63C5B" w:rsidRDefault="00BD1435">
      <w:r>
        <w:t xml:space="preserve">  </w:t>
      </w:r>
    </w:p>
    <w:p w:rsidR="00F63C5B" w:rsidRDefault="00BD1435">
      <w:r>
        <w:t xml:space="preserve">32 Materijalni rashodi   </w:t>
      </w:r>
    </w:p>
    <w:p w:rsidR="00F63C5B" w:rsidRDefault="00BD1435">
      <w:r>
        <w:t>Planirana su sredstva u iznosu od 722.121,00 eura za 2025. godinu, 629.048,00 eura za 2026.</w:t>
      </w:r>
      <w:r>
        <w:t xml:space="preserve"> godinu te 479.495,00 eura za 2027. godinu. Sredstva su planirana za službena putovanja, naknade za prijevoz na posao i s posla, uredske potrepštine, energente i komunalije, telekomunikacijske usluge, usluge najma, usluge promidžbe, usluge vezane uz održav</w:t>
      </w:r>
      <w:r>
        <w:t>anje mrežne stranice Povjerenstva, intelektualne usluge, naknade za članove Povjerenstva, putne troškove članova Povjerenstva, nabavu sitnog inventara, nabavu tiskovina, provođenje zaštite na radu, održavanje aplikativnih rješenja, usluge čišćenja, osigura</w:t>
      </w:r>
      <w:r>
        <w:t>nje reprezentacije i članarine tijelima. Kako je u prijelaznom razdoblju administrativne i tehničke poslove za Povjerenstvo sukladno prijelaznim odredbama Zakona o fiskalnoj odgovornosti vodio Ured za opće poslove Hrvatskog sabora i Vlade Republike Hrvatsk</w:t>
      </w:r>
      <w:r>
        <w:t>e, Povjerenstvo se od listopada 2024. godine osamostalilo, dok je poslove računovodstva i obračuna plaća povjerilo vanjskoj firmi za što su sredstva predviđena i za ove usluge. U sklopu ove rashodovne kategorije uključeni su i rashodi za obnovu te adaptaci</w:t>
      </w:r>
      <w:r>
        <w:t xml:space="preserve">ju poslovnog prostora oštećenog u potresu.  </w:t>
      </w:r>
    </w:p>
    <w:p w:rsidR="00F63C5B" w:rsidRDefault="00BD1435">
      <w:r>
        <w:t xml:space="preserve"> </w:t>
      </w:r>
    </w:p>
    <w:p w:rsidR="00F63C5B" w:rsidRDefault="00BD1435">
      <w:r>
        <w:t xml:space="preserve">34 Financijski rashodi  </w:t>
      </w:r>
    </w:p>
    <w:p w:rsidR="00F63C5B" w:rsidRDefault="00BD1435">
      <w:r>
        <w:t xml:space="preserve">Planirana su sredstva u iznosu 151,00 eura za svaku godinu planiranja. Sredstva su planirana za bankarske usluge, negativne tečajne razlike te zatezne kamate.  </w:t>
      </w:r>
    </w:p>
    <w:p w:rsidR="00F63C5B" w:rsidRDefault="00BD1435">
      <w:r>
        <w:t xml:space="preserve"> </w:t>
      </w:r>
    </w:p>
    <w:p w:rsidR="00F63C5B" w:rsidRDefault="00BD1435">
      <w:r>
        <w:t xml:space="preserve">37 Naknade građanima i kućanstvima na temelju osiguranja i druge naknade  </w:t>
      </w:r>
    </w:p>
    <w:p w:rsidR="00F63C5B" w:rsidRDefault="00BD1435">
      <w:r>
        <w:t xml:space="preserve">Planirana su sredstva u iznosu 20.000,00 eura za svaku godinu planiranja. Sredstva su planirana za dodatno školovanje zaposlenika.  </w:t>
      </w:r>
    </w:p>
    <w:p w:rsidR="00F63C5B" w:rsidRDefault="00BD1435">
      <w:r>
        <w:t xml:space="preserve"> </w:t>
      </w:r>
    </w:p>
    <w:p w:rsidR="00F63C5B" w:rsidRDefault="00BD1435">
      <w:r>
        <w:t>42 Rashodi za nabavu proizvedene dugotrajne im</w:t>
      </w:r>
      <w:r>
        <w:t xml:space="preserve">ovine  </w:t>
      </w:r>
    </w:p>
    <w:p w:rsidR="00F63C5B" w:rsidRDefault="00BD1435">
      <w:r>
        <w:t>Planirana su sredstva u iznosu 22.000,00 eura za 2025. godinu, 22.000,00 eura za 2026. godinu te 50.000,00 eura za 2027. godinu. Sredstva su planirana za nabavu uredskog namještaja i uredske opreme, nabavu nove multimedijske i komunikacijske opreme</w:t>
      </w:r>
      <w:r>
        <w:t>, opreme za održavanje i zaštitu te ostale opreme.</w:t>
      </w:r>
    </w:p>
    <w:p w:rsidR="00F63C5B" w:rsidRDefault="00BD1435">
      <w:pPr>
        <w:pStyle w:val="Heading4"/>
      </w:pPr>
      <w:r>
        <w:t>K926002 INFORMATIZACIJA</w:t>
      </w:r>
    </w:p>
    <w:p w:rsidR="00F63C5B" w:rsidRDefault="00BD1435">
      <w:pPr>
        <w:pStyle w:val="Heading8"/>
        <w:jc w:val="left"/>
      </w:pPr>
      <w:r>
        <w:t>Zakonske i druge pravne osnove</w:t>
      </w:r>
    </w:p>
    <w:p w:rsidR="00F63C5B" w:rsidRDefault="00BD1435">
      <w:pPr>
        <w:pStyle w:val="Normal5"/>
      </w:pPr>
      <w:r>
        <w:t>Zakon o fiskalnoj odgovornosti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14"/>
        <w:gridCol w:w="1484"/>
        <w:gridCol w:w="1469"/>
        <w:gridCol w:w="1469"/>
        <w:gridCol w:w="1450"/>
        <w:gridCol w:w="1450"/>
        <w:gridCol w:w="970"/>
      </w:tblGrid>
      <w:tr w:rsidR="00F63C5B">
        <w:trPr>
          <w:jc w:val="center"/>
        </w:trPr>
        <w:tc>
          <w:tcPr>
            <w:tcW w:w="1530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2024.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2025.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2026. (eur)</w:t>
            </w:r>
          </w:p>
        </w:tc>
        <w:tc>
          <w:tcPr>
            <w:tcW w:w="1632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Plan 2027. (eur)</w:t>
            </w:r>
          </w:p>
        </w:tc>
        <w:tc>
          <w:tcPr>
            <w:tcW w:w="510" w:type="dxa"/>
            <w:shd w:val="clear" w:color="auto" w:fill="B5C0D8"/>
          </w:tcPr>
          <w:p w:rsidR="00F63C5B" w:rsidRDefault="00BD1435">
            <w:pPr>
              <w:pStyle w:val="CellHeader"/>
            </w:pPr>
            <w:r>
              <w:rPr>
                <w:rFonts w:cs="Times New Roman"/>
              </w:rPr>
              <w:t>Indeks 2025/2024</w:t>
            </w:r>
          </w:p>
        </w:tc>
      </w:tr>
      <w:tr w:rsidR="00F63C5B">
        <w:trPr>
          <w:jc w:val="center"/>
        </w:trPr>
        <w:tc>
          <w:tcPr>
            <w:tcW w:w="1530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K926002-INFORMATIZACIJA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2.758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111.361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108.500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72.000</w:t>
            </w:r>
          </w:p>
        </w:tc>
        <w:tc>
          <w:tcPr>
            <w:tcW w:w="1632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88.500</w:t>
            </w:r>
          </w:p>
        </w:tc>
        <w:tc>
          <w:tcPr>
            <w:tcW w:w="510" w:type="dxa"/>
          </w:tcPr>
          <w:p w:rsidR="00F63C5B" w:rsidRDefault="00BD1435">
            <w:pPr>
              <w:pStyle w:val="CellColumn"/>
            </w:pPr>
            <w:r>
              <w:rPr>
                <w:rFonts w:cs="Times New Roman"/>
              </w:rPr>
              <w:t>97,4</w:t>
            </w:r>
          </w:p>
        </w:tc>
      </w:tr>
    </w:tbl>
    <w:p w:rsidR="00F63C5B" w:rsidRDefault="00F63C5B">
      <w:pPr>
        <w:jc w:val="left"/>
      </w:pPr>
    </w:p>
    <w:p w:rsidR="00F63C5B" w:rsidRDefault="00BD1435">
      <w:r>
        <w:t xml:space="preserve">U okviru kapitalnog projekta K926002 Informatizacija planirana su sredstva u iznosu 108.500,00 eura za 2025. godinu, 72.000,00 eura za 2026. godinu te 88.500,00 eura za 2027. godinu.  </w:t>
      </w:r>
    </w:p>
    <w:p w:rsidR="00F63C5B" w:rsidRDefault="00BD1435">
      <w:r>
        <w:t xml:space="preserve"> </w:t>
      </w:r>
    </w:p>
    <w:p w:rsidR="00F63C5B" w:rsidRDefault="00BD1435">
      <w:r>
        <w:t>U nastavku dajemo razradu planiranih sredstava po skupinama rashoda k</w:t>
      </w:r>
      <w:r>
        <w:t xml:space="preserve">ako slijedi.  </w:t>
      </w:r>
    </w:p>
    <w:p w:rsidR="00F63C5B" w:rsidRDefault="00BD1435">
      <w:r>
        <w:t xml:space="preserve">  </w:t>
      </w:r>
    </w:p>
    <w:p w:rsidR="00F63C5B" w:rsidRDefault="00BD1435">
      <w:r>
        <w:t xml:space="preserve">32 Materijalni rashodi  </w:t>
      </w:r>
    </w:p>
    <w:p w:rsidR="00F63C5B" w:rsidRDefault="00BD1435">
      <w:r>
        <w:t xml:space="preserve">Planirana su sredstva u iznosu 27.000,00 eura za svaku godinu planiranja. Sredstva su planirana za različite licence čije je vrijeme trajanja do godinu dana (Microsoft, Eviews, ZOOM i Firewall).  </w:t>
      </w:r>
    </w:p>
    <w:p w:rsidR="00F63C5B" w:rsidRDefault="00BD1435">
      <w:r>
        <w:t xml:space="preserve">  </w:t>
      </w:r>
    </w:p>
    <w:p w:rsidR="00F63C5B" w:rsidRDefault="00BD1435">
      <w:r>
        <w:t xml:space="preserve">41 Rashodi za nabavu neproizvedene dugotrajne imovine  </w:t>
      </w:r>
    </w:p>
    <w:p w:rsidR="00F63C5B" w:rsidRDefault="00BD1435">
      <w:r>
        <w:t xml:space="preserve">Planirana su sredstva u iznosu 16.500,00 eura za 2025. i 2027. godinu. Sredstva su planirana za licence virtualizacija, evault, veem.  </w:t>
      </w:r>
    </w:p>
    <w:p w:rsidR="00F63C5B" w:rsidRDefault="00BD1435">
      <w:r>
        <w:t xml:space="preserve">  </w:t>
      </w:r>
    </w:p>
    <w:p w:rsidR="00F63C5B" w:rsidRDefault="00BD1435">
      <w:r>
        <w:t xml:space="preserve">42 Rashodi za nabavu proizvedene dugotrajne imovine  </w:t>
      </w:r>
    </w:p>
    <w:p w:rsidR="00F63C5B" w:rsidRDefault="00BD1435">
      <w:r>
        <w:t>Planira</w:t>
      </w:r>
      <w:r>
        <w:t xml:space="preserve">na su sredstva u iznosu 65.000,00 eura za 2025. godinu te 45.000,00 eura za 2026. i 2027. godinu.  </w:t>
      </w:r>
    </w:p>
    <w:p w:rsidR="00F63C5B" w:rsidRDefault="00BD1435">
      <w:r>
        <w:t>Sredstva su planirana za nabavu računalne opreme te raznih softwareskih alata za obradu podataka i modeliranje nužnih za rad Povjerenstva.</w:t>
      </w:r>
    </w:p>
    <w:sectPr w:rsidR="00F63C5B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45" w:rsidRDefault="007A7E45" w:rsidP="00F352E6">
      <w:r>
        <w:separator/>
      </w:r>
    </w:p>
  </w:endnote>
  <w:endnote w:type="continuationSeparator" w:id="0">
    <w:p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BD1435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45" w:rsidRDefault="007A7E45" w:rsidP="00F352E6">
      <w:r>
        <w:separator/>
      </w:r>
    </w:p>
  </w:footnote>
  <w:footnote w:type="continuationSeparator" w:id="0">
    <w:p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BD1435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2533C"/>
    <w:rsid w:val="000352D6"/>
    <w:rsid w:val="000C0A6C"/>
    <w:rsid w:val="0010779D"/>
    <w:rsid w:val="0013155A"/>
    <w:rsid w:val="0017490A"/>
    <w:rsid w:val="001E5246"/>
    <w:rsid w:val="0027042C"/>
    <w:rsid w:val="00311AA1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D1435"/>
    <w:rsid w:val="00BF02E9"/>
    <w:rsid w:val="00BF3F24"/>
    <w:rsid w:val="00C7470A"/>
    <w:rsid w:val="00DE2416"/>
    <w:rsid w:val="00E42E87"/>
    <w:rsid w:val="00E62EF0"/>
    <w:rsid w:val="00ED0E3A"/>
    <w:rsid w:val="00F352E6"/>
    <w:rsid w:val="00F63C5B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F5711-1C21-4BF0-9419-EF60D9D9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Mirta Ivanković</cp:lastModifiedBy>
  <cp:revision>2</cp:revision>
  <dcterms:created xsi:type="dcterms:W3CDTF">2024-12-20T13:10:00Z</dcterms:created>
  <dcterms:modified xsi:type="dcterms:W3CDTF">2024-12-20T13:10:00Z</dcterms:modified>
</cp:coreProperties>
</file>